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5C13" w14:textId="77777777" w:rsidR="00F86EB4" w:rsidRPr="001D09A8" w:rsidRDefault="00F86EB4" w:rsidP="00F86EB4">
      <w:pPr>
        <w:pStyle w:val="Kop1"/>
        <w:spacing w:line="240" w:lineRule="atLeast"/>
        <w:rPr>
          <w:rFonts w:ascii="Verdana" w:hAnsi="Verdana"/>
          <w:b w:val="0"/>
          <w:i/>
          <w:sz w:val="20"/>
          <w:u w:val="none"/>
        </w:rPr>
      </w:pPr>
    </w:p>
    <w:p w14:paraId="469DF528" w14:textId="77777777" w:rsidR="00F86EB4" w:rsidRPr="001D09A8" w:rsidRDefault="00F86EB4" w:rsidP="00F86EB4">
      <w:pPr>
        <w:pStyle w:val="Kop1"/>
        <w:spacing w:line="240" w:lineRule="atLeast"/>
        <w:rPr>
          <w:rFonts w:ascii="Verdana" w:hAnsi="Verdana"/>
          <w:sz w:val="20"/>
          <w:u w:val="none"/>
        </w:rPr>
      </w:pPr>
      <w:r w:rsidRPr="001D09A8">
        <w:rPr>
          <w:rFonts w:ascii="Verdana" w:hAnsi="Verdana"/>
          <w:sz w:val="20"/>
          <w:u w:val="none"/>
        </w:rPr>
        <w:t>CHECKLIST BIJ OPENSTELLEN ELEKTRONISCH VERKEER (ARTIKEL 2:15 ALGEMENE WET BESTUURSRECHT)</w:t>
      </w:r>
    </w:p>
    <w:p w14:paraId="34D2D879" w14:textId="77777777" w:rsidR="00F86EB4" w:rsidRPr="001D09A8" w:rsidRDefault="00F86EB4" w:rsidP="00F86EB4">
      <w:pPr>
        <w:spacing w:line="240" w:lineRule="atLeast"/>
        <w:rPr>
          <w:rFonts w:ascii="Verdana" w:hAnsi="Verdana"/>
          <w:sz w:val="20"/>
          <w:szCs w:val="20"/>
        </w:rPr>
      </w:pPr>
    </w:p>
    <w:p w14:paraId="17C764BD" w14:textId="77777777" w:rsidR="00F86EB4" w:rsidRPr="001D09A8" w:rsidRDefault="00F86EB4" w:rsidP="00F86EB4">
      <w:pPr>
        <w:spacing w:line="240" w:lineRule="atLeast"/>
        <w:rPr>
          <w:rFonts w:ascii="Verdana" w:hAnsi="Verdana"/>
          <w:sz w:val="20"/>
          <w:szCs w:val="20"/>
        </w:rPr>
      </w:pPr>
    </w:p>
    <w:p w14:paraId="577064C6" w14:textId="77777777" w:rsidR="00F86EB4" w:rsidRPr="001D09A8" w:rsidRDefault="00F86EB4" w:rsidP="00F86EB4">
      <w:pPr>
        <w:spacing w:line="240" w:lineRule="atLeast"/>
        <w:rPr>
          <w:rFonts w:ascii="Verdana" w:hAnsi="Verdana"/>
          <w:b/>
          <w:sz w:val="20"/>
          <w:szCs w:val="20"/>
        </w:rPr>
      </w:pPr>
      <w:r w:rsidRPr="001D09A8">
        <w:rPr>
          <w:rFonts w:ascii="Verdana" w:hAnsi="Verdana"/>
          <w:b/>
          <w:sz w:val="20"/>
          <w:szCs w:val="20"/>
        </w:rPr>
        <w:t>Algemeen</w:t>
      </w:r>
    </w:p>
    <w:p w14:paraId="0DD6F007" w14:textId="77777777" w:rsidR="00F86EB4" w:rsidRPr="001D09A8" w:rsidRDefault="00F86EB4" w:rsidP="00F86EB4">
      <w:pPr>
        <w:spacing w:line="240" w:lineRule="atLeast"/>
        <w:rPr>
          <w:rFonts w:ascii="Verdana" w:hAnsi="Verdana"/>
          <w:i/>
          <w:sz w:val="20"/>
          <w:szCs w:val="20"/>
        </w:rPr>
      </w:pPr>
    </w:p>
    <w:p w14:paraId="09C2E5D5" w14:textId="77777777" w:rsidR="00F86EB4" w:rsidRPr="001D09A8" w:rsidRDefault="00F86EB4" w:rsidP="00F86EB4">
      <w:pPr>
        <w:spacing w:line="240" w:lineRule="atLeast"/>
        <w:rPr>
          <w:rFonts w:ascii="Verdana" w:hAnsi="Verdana"/>
          <w:i/>
          <w:sz w:val="20"/>
          <w:szCs w:val="20"/>
        </w:rPr>
      </w:pPr>
      <w:r w:rsidRPr="001D09A8">
        <w:rPr>
          <w:rFonts w:ascii="Verdana" w:hAnsi="Verdana"/>
          <w:i/>
          <w:sz w:val="20"/>
          <w:szCs w:val="20"/>
        </w:rPr>
        <w:t>Inleiding</w:t>
      </w:r>
    </w:p>
    <w:p w14:paraId="14F7D314"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Op 9 oktober 2012 heeft een door het IHJZ ingestelde werkgroep Openstelling elektronische weg (2:15 Algemene wet bestuursrecht, hierna: </w:t>
      </w:r>
      <w:proofErr w:type="spellStart"/>
      <w:r w:rsidRPr="001D09A8">
        <w:rPr>
          <w:rFonts w:ascii="Verdana" w:hAnsi="Verdana"/>
          <w:sz w:val="20"/>
          <w:szCs w:val="20"/>
        </w:rPr>
        <w:t>Awb</w:t>
      </w:r>
      <w:proofErr w:type="spellEnd"/>
      <w:r w:rsidRPr="001D09A8">
        <w:rPr>
          <w:rFonts w:ascii="Verdana" w:hAnsi="Verdana"/>
          <w:sz w:val="20"/>
          <w:szCs w:val="20"/>
        </w:rPr>
        <w:t xml:space="preserve">) verslag uitgebracht aan het IHJZ over de juridische en technische eisen voor het openstellen van de elektronische weg voor berichtenverkeer, in het bijzonder bij de indiening van bezwaarschriften, tussen ministeries en burgers/bedrijven. Artikel 2:15 </w:t>
      </w:r>
      <w:proofErr w:type="spellStart"/>
      <w:r w:rsidRPr="001D09A8">
        <w:rPr>
          <w:rFonts w:ascii="Verdana" w:hAnsi="Verdana"/>
          <w:sz w:val="20"/>
          <w:szCs w:val="20"/>
        </w:rPr>
        <w:t>Awb</w:t>
      </w:r>
      <w:proofErr w:type="spellEnd"/>
      <w:r w:rsidRPr="001D09A8">
        <w:rPr>
          <w:rFonts w:ascii="Verdana" w:hAnsi="Verdana"/>
          <w:sz w:val="20"/>
          <w:szCs w:val="20"/>
        </w:rPr>
        <w:t xml:space="preserve"> maakt de weg vrij voor het elektronisch verzenden van berichten door burgers of ondernemingen, indien deze weg expliciet is opengesteld door het bestuursorgaan. Daarnaast moet het elektronisch verkeer voldoen aan een aantal eisen op het gebied van betrouwbaarheid en vertrouwelijkheid. </w:t>
      </w:r>
    </w:p>
    <w:p w14:paraId="026970AC" w14:textId="77777777" w:rsidR="00F86EB4" w:rsidRPr="001D09A8" w:rsidRDefault="00F86EB4" w:rsidP="00F86EB4">
      <w:pPr>
        <w:spacing w:line="240" w:lineRule="atLeast"/>
        <w:rPr>
          <w:rFonts w:ascii="Verdana" w:hAnsi="Verdana"/>
          <w:sz w:val="20"/>
          <w:szCs w:val="20"/>
        </w:rPr>
      </w:pPr>
    </w:p>
    <w:p w14:paraId="22143820" w14:textId="77777777" w:rsidR="00F86EB4" w:rsidRPr="001D09A8" w:rsidRDefault="00F86EB4" w:rsidP="00F86EB4">
      <w:pPr>
        <w:spacing w:line="240" w:lineRule="atLeast"/>
        <w:rPr>
          <w:rFonts w:ascii="Verdana" w:hAnsi="Verdana"/>
          <w:i/>
          <w:sz w:val="20"/>
          <w:szCs w:val="20"/>
        </w:rPr>
      </w:pPr>
      <w:r w:rsidRPr="001D09A8">
        <w:rPr>
          <w:rFonts w:ascii="Verdana" w:hAnsi="Verdana"/>
          <w:i/>
          <w:sz w:val="20"/>
          <w:szCs w:val="20"/>
        </w:rPr>
        <w:t>Juridische en technische eisen bij openstelling elektronisch verkeer</w:t>
      </w:r>
    </w:p>
    <w:p w14:paraId="7CB9DB98" w14:textId="77777777" w:rsidR="00F86EB4" w:rsidRPr="001D09A8" w:rsidRDefault="00F86EB4" w:rsidP="00F86EB4">
      <w:pPr>
        <w:spacing w:line="240" w:lineRule="atLeast"/>
        <w:rPr>
          <w:rFonts w:ascii="Verdana" w:hAnsi="Verdana" w:cs="Arial"/>
          <w:sz w:val="20"/>
          <w:szCs w:val="20"/>
        </w:rPr>
      </w:pPr>
      <w:r w:rsidRPr="001D09A8">
        <w:rPr>
          <w:rFonts w:ascii="Verdana" w:hAnsi="Verdana"/>
          <w:sz w:val="20"/>
          <w:szCs w:val="20"/>
        </w:rPr>
        <w:t>J</w:t>
      </w:r>
      <w:r w:rsidRPr="001D09A8">
        <w:rPr>
          <w:rFonts w:ascii="Verdana" w:hAnsi="Verdana" w:cs="Arial"/>
          <w:sz w:val="20"/>
          <w:szCs w:val="20"/>
        </w:rPr>
        <w:t xml:space="preserve">uridisch gezien kan de openstelling van de elektronische weg op verschillende manieren plaatsvinden, bijvoorbeeld door hiervan melding te maken in de bezwaarclausule en/of expliciete vermelding op de website. </w:t>
      </w:r>
      <w:r w:rsidRPr="001D09A8">
        <w:rPr>
          <w:rFonts w:ascii="Verdana" w:hAnsi="Verdana"/>
          <w:sz w:val="20"/>
          <w:szCs w:val="20"/>
        </w:rPr>
        <w:t xml:space="preserve">Een eenvoudige aanpak voor het technisch openstellen van elektronisch verkeer tussen ministeries en burgers/ondernemingen is het openstellen van e-mailverkeer voor (eenvoudige) categorieën bezwaarzaken en verzoeken op grond van de Wet openbaarheid van bestuur (hierna: </w:t>
      </w:r>
      <w:proofErr w:type="spellStart"/>
      <w:r w:rsidRPr="001D09A8">
        <w:rPr>
          <w:rFonts w:ascii="Verdana" w:hAnsi="Verdana"/>
          <w:sz w:val="20"/>
          <w:szCs w:val="20"/>
        </w:rPr>
        <w:t>Wob</w:t>
      </w:r>
      <w:proofErr w:type="spellEnd"/>
      <w:r w:rsidRPr="001D09A8">
        <w:rPr>
          <w:rFonts w:ascii="Verdana" w:hAnsi="Verdana"/>
          <w:sz w:val="20"/>
          <w:szCs w:val="20"/>
        </w:rPr>
        <w:t xml:space="preserve">) die zich lenen voor communicatie langs deze minder of onbeveiligde weg. Het opzetten van een volledig beveiligde infrastructuur brengt kosten mee (raming € 500.000 tot € 5.000.000) en kost tijd (raming 6-12 maanden). Op de langere termijn wordt toegewerkt naar een uniforme </w:t>
      </w:r>
      <w:proofErr w:type="spellStart"/>
      <w:r w:rsidRPr="001D09A8">
        <w:rPr>
          <w:rFonts w:ascii="Verdana" w:hAnsi="Verdana"/>
          <w:sz w:val="20"/>
          <w:szCs w:val="20"/>
        </w:rPr>
        <w:t>rijksbrede</w:t>
      </w:r>
      <w:proofErr w:type="spellEnd"/>
      <w:r w:rsidRPr="001D09A8">
        <w:rPr>
          <w:rFonts w:ascii="Verdana" w:hAnsi="Verdana"/>
          <w:sz w:val="20"/>
          <w:szCs w:val="20"/>
        </w:rPr>
        <w:t xml:space="preserve"> aanpak van het openstellen van elektronisch verkeer langs volledig beveiligde weg. </w:t>
      </w:r>
    </w:p>
    <w:p w14:paraId="012A615D" w14:textId="77777777" w:rsidR="00F86EB4" w:rsidRPr="001D09A8" w:rsidRDefault="00F86EB4" w:rsidP="00F86EB4">
      <w:pPr>
        <w:pStyle w:val="Lijstalinea"/>
        <w:spacing w:after="0" w:line="240" w:lineRule="atLeast"/>
        <w:ind w:left="0"/>
        <w:jc w:val="both"/>
        <w:rPr>
          <w:rFonts w:cs="Arial"/>
          <w:sz w:val="20"/>
          <w:szCs w:val="20"/>
        </w:rPr>
      </w:pPr>
    </w:p>
    <w:p w14:paraId="51E5EC19" w14:textId="77777777" w:rsidR="00F86EB4" w:rsidRPr="001D09A8" w:rsidRDefault="00F86EB4" w:rsidP="00F86EB4">
      <w:pPr>
        <w:pStyle w:val="Lijstalinea"/>
        <w:spacing w:after="0" w:line="240" w:lineRule="atLeast"/>
        <w:ind w:left="0"/>
        <w:jc w:val="both"/>
        <w:rPr>
          <w:i/>
          <w:sz w:val="20"/>
          <w:szCs w:val="20"/>
        </w:rPr>
      </w:pPr>
      <w:r w:rsidRPr="001D09A8">
        <w:rPr>
          <w:i/>
          <w:sz w:val="20"/>
          <w:szCs w:val="20"/>
        </w:rPr>
        <w:t>Openstelling elektronisch verkeer</w:t>
      </w:r>
    </w:p>
    <w:p w14:paraId="7C9F6793"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Elektronische dienstverlening staat voor lastenverlichting, betere dienstverlening, een efficiëntere overheid en een overheid van deze tijd. Elektronisch communiceren tussen bestuursorganen en burgers en bedrijven is bovendien een manier om te bezuinigen. Het openstellen van de elektronische weg past bij het in het regeerakkoord van 2012 geformuleerde streven naar een betere dienstverlening door de overheid naar digitale afhandeling van zaken die bedrijven en burgers met de overheid doen (uiterlijk 2017). Bovendien sluit openstelling van de elektronische weg aan bij de diverse digitaliseringsoperaties binnen de rechtspraak. </w:t>
      </w:r>
    </w:p>
    <w:p w14:paraId="0A557EAC" w14:textId="77777777" w:rsidR="00F86EB4" w:rsidRPr="001D09A8" w:rsidRDefault="00F86EB4" w:rsidP="00F86EB4">
      <w:pPr>
        <w:spacing w:line="240" w:lineRule="atLeast"/>
        <w:rPr>
          <w:rFonts w:ascii="Verdana" w:hAnsi="Verdana"/>
          <w:i/>
          <w:sz w:val="20"/>
          <w:szCs w:val="20"/>
        </w:rPr>
      </w:pPr>
    </w:p>
    <w:p w14:paraId="0CE9412A"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Het IOWJZ heeft ermee ingestemd dat in 2013 ieder ministerie nagaat </w:t>
      </w:r>
      <w:r w:rsidRPr="001D09A8">
        <w:rPr>
          <w:rFonts w:ascii="Verdana" w:hAnsi="Verdana" w:cs="Arial"/>
          <w:sz w:val="20"/>
          <w:szCs w:val="20"/>
        </w:rPr>
        <w:t xml:space="preserve">welke categorieën bezwaarzaken en </w:t>
      </w:r>
      <w:proofErr w:type="spellStart"/>
      <w:r w:rsidRPr="001D09A8">
        <w:rPr>
          <w:rFonts w:ascii="Verdana" w:hAnsi="Verdana" w:cs="Arial"/>
          <w:sz w:val="20"/>
          <w:szCs w:val="20"/>
        </w:rPr>
        <w:t>Wob</w:t>
      </w:r>
      <w:proofErr w:type="spellEnd"/>
      <w:r w:rsidRPr="001D09A8">
        <w:rPr>
          <w:rFonts w:ascii="Verdana" w:hAnsi="Verdana" w:cs="Arial"/>
          <w:sz w:val="20"/>
          <w:szCs w:val="20"/>
        </w:rPr>
        <w:t xml:space="preserve">-verzoeken zich lenen voor openstelling langs elektronische weg via e-mail (of andere reeds binnen een ministerie bestaande digitale systemen). Daarbij dient per categorie een analyse te worden gemaakt van de juridische risico’s die openstelling met zich brengt. </w:t>
      </w:r>
      <w:r w:rsidRPr="001D09A8">
        <w:rPr>
          <w:rFonts w:ascii="Verdana" w:hAnsi="Verdana"/>
          <w:sz w:val="20"/>
          <w:szCs w:val="20"/>
        </w:rPr>
        <w:t xml:space="preserve">Het IHJZ heeft aandachtspunten bij de openstelling elektronisch verkeer ontwikkeld, waarvan ministeries gebruik kunnen maken bij het openstellen van de elektronische weg. De ervaringen met het openstellen van de elektronische weg en deze Checklist worden periodiek (3 keer per jaar) besproken binnen het IHJZ. Een eerste terugkoppeling vindt aan het IOWJZ vindt plaats in de zomer van 2013. </w:t>
      </w:r>
    </w:p>
    <w:p w14:paraId="6B758FF8" w14:textId="77777777" w:rsidR="00F86EB4" w:rsidRPr="001D09A8" w:rsidRDefault="00F86EB4" w:rsidP="00F86EB4">
      <w:pPr>
        <w:spacing w:line="240" w:lineRule="atLeast"/>
        <w:rPr>
          <w:rFonts w:ascii="Verdana" w:hAnsi="Verdana"/>
          <w:sz w:val="20"/>
          <w:szCs w:val="20"/>
        </w:rPr>
      </w:pPr>
    </w:p>
    <w:p w14:paraId="18210147" w14:textId="77777777" w:rsidR="00F86EB4" w:rsidRPr="001D09A8" w:rsidRDefault="00F86EB4" w:rsidP="00F86EB4">
      <w:pPr>
        <w:pStyle w:val="Lijstalinea"/>
        <w:spacing w:after="0" w:line="240" w:lineRule="atLeast"/>
        <w:ind w:left="0"/>
        <w:rPr>
          <w:rFonts w:cs="Arial"/>
          <w:i/>
          <w:sz w:val="20"/>
          <w:szCs w:val="20"/>
        </w:rPr>
      </w:pPr>
      <w:r w:rsidRPr="001D09A8">
        <w:rPr>
          <w:rFonts w:cs="Arial"/>
          <w:i/>
          <w:sz w:val="20"/>
          <w:szCs w:val="20"/>
        </w:rPr>
        <w:t xml:space="preserve">Naar een uniform </w:t>
      </w:r>
      <w:proofErr w:type="spellStart"/>
      <w:r w:rsidRPr="001D09A8">
        <w:rPr>
          <w:rFonts w:cs="Arial"/>
          <w:i/>
          <w:sz w:val="20"/>
          <w:szCs w:val="20"/>
        </w:rPr>
        <w:t>rijksbreed</w:t>
      </w:r>
      <w:proofErr w:type="spellEnd"/>
      <w:r w:rsidRPr="001D09A8">
        <w:rPr>
          <w:rFonts w:cs="Arial"/>
          <w:i/>
          <w:sz w:val="20"/>
          <w:szCs w:val="20"/>
        </w:rPr>
        <w:t xml:space="preserve"> systeem</w:t>
      </w:r>
    </w:p>
    <w:p w14:paraId="453AAEB9" w14:textId="77777777" w:rsidR="00F86EB4" w:rsidRPr="001D09A8" w:rsidRDefault="00F86EB4" w:rsidP="00F86EB4">
      <w:pPr>
        <w:pStyle w:val="Lijstalinea"/>
        <w:spacing w:after="0" w:line="240" w:lineRule="atLeast"/>
        <w:ind w:left="0"/>
        <w:rPr>
          <w:rFonts w:cs="Arial"/>
          <w:sz w:val="20"/>
          <w:szCs w:val="20"/>
        </w:rPr>
      </w:pPr>
      <w:r w:rsidRPr="001D09A8">
        <w:rPr>
          <w:rFonts w:cs="Arial"/>
          <w:sz w:val="20"/>
          <w:szCs w:val="20"/>
        </w:rPr>
        <w:t xml:space="preserve">Gelet op het in het regeerakkoord van 2012 genoemde streven naar digitale afhandeling van zaken tussen de overheid en burgers/bedrijven in 2017, ligt het in de rede om op termijn een uniforme </w:t>
      </w:r>
      <w:proofErr w:type="spellStart"/>
      <w:r w:rsidRPr="001D09A8">
        <w:rPr>
          <w:rFonts w:cs="Arial"/>
          <w:sz w:val="20"/>
          <w:szCs w:val="20"/>
        </w:rPr>
        <w:t>rijksbrede</w:t>
      </w:r>
      <w:proofErr w:type="spellEnd"/>
      <w:r w:rsidRPr="001D09A8">
        <w:rPr>
          <w:rFonts w:cs="Arial"/>
          <w:sz w:val="20"/>
          <w:szCs w:val="20"/>
        </w:rPr>
        <w:t xml:space="preserve"> aanpak van de openstelling van de elektronische weg te ontwikkelen en toe te werken naar een </w:t>
      </w:r>
      <w:proofErr w:type="spellStart"/>
      <w:r w:rsidRPr="001D09A8">
        <w:rPr>
          <w:rFonts w:cs="Arial"/>
          <w:sz w:val="20"/>
          <w:szCs w:val="20"/>
        </w:rPr>
        <w:t>rijksbreed</w:t>
      </w:r>
      <w:proofErr w:type="spellEnd"/>
      <w:r w:rsidRPr="001D09A8">
        <w:rPr>
          <w:rFonts w:cs="Arial"/>
          <w:sz w:val="20"/>
          <w:szCs w:val="20"/>
        </w:rPr>
        <w:t xml:space="preserve"> betrouwbaar en beveiligd systeem. Dit systeem zou bijvoorbeeld kunnen werken met één algemeen elektronisch bereikbaar adres voor de rijksoverheid (bijvoorbeeld via </w:t>
      </w:r>
      <w:hyperlink r:id="rId6" w:history="1">
        <w:r w:rsidRPr="001D09A8">
          <w:rPr>
            <w:rStyle w:val="Hyperlink"/>
            <w:rFonts w:cs="Arial"/>
            <w:sz w:val="20"/>
            <w:szCs w:val="20"/>
          </w:rPr>
          <w:t>www.rijksoverheid.nl</w:t>
        </w:r>
      </w:hyperlink>
      <w:r w:rsidRPr="001D09A8">
        <w:rPr>
          <w:rFonts w:cs="Arial"/>
          <w:sz w:val="20"/>
          <w:szCs w:val="20"/>
        </w:rPr>
        <w:t xml:space="preserve"> (voor burgers) en www. Antwoordvoorbedrijven.nl (voor ondernemingen)) of via één of enkele berichten-boxen. </w:t>
      </w:r>
    </w:p>
    <w:p w14:paraId="774DD64E" w14:textId="77777777" w:rsidR="00F86EB4" w:rsidRPr="001D09A8" w:rsidRDefault="00F86EB4" w:rsidP="00F86EB4">
      <w:pPr>
        <w:pStyle w:val="Lijstalinea"/>
        <w:spacing w:after="0" w:line="240" w:lineRule="atLeast"/>
        <w:ind w:left="0"/>
        <w:rPr>
          <w:sz w:val="20"/>
          <w:szCs w:val="20"/>
        </w:rPr>
      </w:pPr>
      <w:r w:rsidRPr="001D09A8">
        <w:rPr>
          <w:sz w:val="20"/>
          <w:szCs w:val="20"/>
        </w:rPr>
        <w:lastRenderedPageBreak/>
        <w:t xml:space="preserve">De opzet van een </w:t>
      </w:r>
      <w:proofErr w:type="spellStart"/>
      <w:r w:rsidRPr="001D09A8">
        <w:rPr>
          <w:sz w:val="20"/>
          <w:szCs w:val="20"/>
        </w:rPr>
        <w:t>rijksbreed</w:t>
      </w:r>
      <w:proofErr w:type="spellEnd"/>
      <w:r w:rsidRPr="001D09A8">
        <w:rPr>
          <w:sz w:val="20"/>
          <w:szCs w:val="20"/>
        </w:rPr>
        <w:t xml:space="preserve"> systeem voor elektronisch verkeer tussen ministeries en burgers/bedrijven in het kader van juridische procedures overstijgt naar de mening van het IOWJZ en het IHJZ het juridische en wordt daarom binnen de bestaande regeldrukoperaties belegd. </w:t>
      </w:r>
      <w:r w:rsidRPr="001D09A8">
        <w:rPr>
          <w:sz w:val="20"/>
          <w:szCs w:val="20"/>
        </w:rPr>
        <w:fldChar w:fldCharType="begin"/>
      </w:r>
      <w:r w:rsidRPr="001D09A8">
        <w:rPr>
          <w:sz w:val="20"/>
          <w:szCs w:val="20"/>
        </w:rPr>
        <w:instrText xml:space="preserve"> DOCPROPERTY ondertekening </w:instrText>
      </w:r>
      <w:r w:rsidRPr="001D09A8">
        <w:rPr>
          <w:sz w:val="20"/>
          <w:szCs w:val="20"/>
        </w:rPr>
        <w:fldChar w:fldCharType="end"/>
      </w:r>
    </w:p>
    <w:p w14:paraId="00236C25" w14:textId="77777777" w:rsidR="00F86EB4" w:rsidRPr="001D09A8" w:rsidRDefault="00F86EB4" w:rsidP="00F86EB4">
      <w:pPr>
        <w:spacing w:line="240" w:lineRule="atLeast"/>
        <w:rPr>
          <w:rFonts w:ascii="Verdana" w:hAnsi="Verdana"/>
          <w:sz w:val="20"/>
          <w:szCs w:val="20"/>
        </w:rPr>
      </w:pPr>
    </w:p>
    <w:p w14:paraId="69F87A04" w14:textId="77777777" w:rsidR="00F86EB4" w:rsidRPr="001D09A8" w:rsidRDefault="00F86EB4" w:rsidP="00F86EB4">
      <w:pPr>
        <w:spacing w:line="240" w:lineRule="atLeast"/>
        <w:rPr>
          <w:rFonts w:ascii="Verdana" w:hAnsi="Verdana"/>
          <w:b/>
          <w:sz w:val="20"/>
          <w:szCs w:val="20"/>
        </w:rPr>
      </w:pPr>
      <w:r w:rsidRPr="001D09A8">
        <w:rPr>
          <w:rFonts w:ascii="Verdana" w:hAnsi="Verdana"/>
          <w:sz w:val="20"/>
          <w:szCs w:val="20"/>
        </w:rPr>
        <w:br w:type="page"/>
      </w:r>
      <w:r w:rsidRPr="001D09A8">
        <w:rPr>
          <w:rFonts w:ascii="Verdana" w:hAnsi="Verdana"/>
          <w:b/>
          <w:sz w:val="20"/>
          <w:szCs w:val="20"/>
        </w:rPr>
        <w:lastRenderedPageBreak/>
        <w:t>Aandachtspunten bij openstelling elektronisch verkeer</w:t>
      </w:r>
    </w:p>
    <w:p w14:paraId="7C6DDC98" w14:textId="77777777" w:rsidR="00F86EB4" w:rsidRPr="001D09A8" w:rsidRDefault="00F86EB4" w:rsidP="00F86EB4">
      <w:pPr>
        <w:spacing w:line="240" w:lineRule="atLeast"/>
        <w:rPr>
          <w:rFonts w:ascii="Verdana" w:hAnsi="Verdana"/>
          <w:sz w:val="20"/>
          <w:szCs w:val="20"/>
        </w:rPr>
      </w:pPr>
    </w:p>
    <w:p w14:paraId="1DB4A616"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Zolang nog niet </w:t>
      </w:r>
      <w:proofErr w:type="spellStart"/>
      <w:r w:rsidRPr="001D09A8">
        <w:rPr>
          <w:rFonts w:ascii="Verdana" w:hAnsi="Verdana"/>
          <w:sz w:val="20"/>
          <w:szCs w:val="20"/>
        </w:rPr>
        <w:t>rijksbreed</w:t>
      </w:r>
      <w:proofErr w:type="spellEnd"/>
      <w:r w:rsidRPr="001D09A8">
        <w:rPr>
          <w:rFonts w:ascii="Verdana" w:hAnsi="Verdana"/>
          <w:sz w:val="20"/>
          <w:szCs w:val="20"/>
        </w:rPr>
        <w:t xml:space="preserve"> of per ministerie gekozen is voor openstelling van elektronisch verkeer voor bezwaarzaken of </w:t>
      </w:r>
      <w:proofErr w:type="spellStart"/>
      <w:r w:rsidRPr="001D09A8">
        <w:rPr>
          <w:rFonts w:ascii="Verdana" w:hAnsi="Verdana"/>
          <w:sz w:val="20"/>
          <w:szCs w:val="20"/>
        </w:rPr>
        <w:t>Wob</w:t>
      </w:r>
      <w:proofErr w:type="spellEnd"/>
      <w:r w:rsidRPr="001D09A8">
        <w:rPr>
          <w:rFonts w:ascii="Verdana" w:hAnsi="Verdana"/>
          <w:sz w:val="20"/>
          <w:szCs w:val="20"/>
        </w:rPr>
        <w:t xml:space="preserve">-verzoeken, kan dat ad hoc of per categorie zaken mogelijk gemaakt worden. Bij de openstelling van de elektronische weg dient een aantal juridische en technische eisen in acht te worden genomen. Hieronder is een lijst met aandachtspunten opgenomen. </w:t>
      </w:r>
    </w:p>
    <w:p w14:paraId="36545F01" w14:textId="77777777" w:rsidR="00F86EB4" w:rsidRPr="001D09A8" w:rsidRDefault="00F86EB4" w:rsidP="00F86EB4">
      <w:pPr>
        <w:spacing w:line="240" w:lineRule="atLeast"/>
        <w:rPr>
          <w:rFonts w:ascii="Verdana" w:hAnsi="Verdana"/>
          <w:sz w:val="20"/>
          <w:szCs w:val="20"/>
        </w:rPr>
      </w:pPr>
    </w:p>
    <w:p w14:paraId="5DCD6800" w14:textId="77777777" w:rsidR="00F86EB4" w:rsidRPr="001D09A8" w:rsidRDefault="00F86EB4" w:rsidP="00F86EB4">
      <w:pPr>
        <w:spacing w:line="240" w:lineRule="atLeast"/>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5"/>
        <w:gridCol w:w="1384"/>
      </w:tblGrid>
      <w:tr w:rsidR="00F86EB4" w:rsidRPr="001D09A8" w14:paraId="2057B204" w14:textId="77777777" w:rsidTr="00F86EB4">
        <w:tc>
          <w:tcPr>
            <w:tcW w:w="6095" w:type="dxa"/>
          </w:tcPr>
          <w:p w14:paraId="2C1BC282" w14:textId="77777777" w:rsidR="00F86EB4" w:rsidRPr="001D09A8" w:rsidRDefault="00F86EB4" w:rsidP="00F86EB4">
            <w:pPr>
              <w:spacing w:line="240" w:lineRule="atLeast"/>
              <w:rPr>
                <w:rFonts w:ascii="Verdana" w:hAnsi="Verdana"/>
                <w:b/>
                <w:sz w:val="20"/>
                <w:szCs w:val="20"/>
              </w:rPr>
            </w:pPr>
            <w:r w:rsidRPr="001D09A8">
              <w:rPr>
                <w:rFonts w:ascii="Verdana" w:hAnsi="Verdana"/>
                <w:b/>
                <w:sz w:val="20"/>
                <w:szCs w:val="20"/>
              </w:rPr>
              <w:t>Aandachtspunten bij openstelling elektronisch verkeer</w:t>
            </w:r>
          </w:p>
        </w:tc>
        <w:tc>
          <w:tcPr>
            <w:tcW w:w="1384" w:type="dxa"/>
          </w:tcPr>
          <w:p w14:paraId="4001CE64" w14:textId="77777777" w:rsidR="00F86EB4" w:rsidRPr="001D09A8" w:rsidRDefault="00F86EB4" w:rsidP="00F86EB4">
            <w:pPr>
              <w:spacing w:line="240" w:lineRule="atLeast"/>
              <w:rPr>
                <w:rFonts w:ascii="Verdana" w:hAnsi="Verdana"/>
                <w:b/>
                <w:sz w:val="20"/>
                <w:szCs w:val="20"/>
              </w:rPr>
            </w:pPr>
            <w:r w:rsidRPr="001D09A8">
              <w:rPr>
                <w:rFonts w:ascii="Verdana" w:hAnsi="Verdana"/>
                <w:b/>
                <w:sz w:val="20"/>
                <w:szCs w:val="20"/>
              </w:rPr>
              <w:t>Artikel</w:t>
            </w:r>
          </w:p>
        </w:tc>
      </w:tr>
      <w:tr w:rsidR="00F86EB4" w:rsidRPr="001D09A8" w14:paraId="6316A041" w14:textId="77777777" w:rsidTr="00F86EB4">
        <w:tc>
          <w:tcPr>
            <w:tcW w:w="6095" w:type="dxa"/>
          </w:tcPr>
          <w:p w14:paraId="5F54F534"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Ga na of voor de categorie van bezwaarzaken of </w:t>
            </w:r>
            <w:proofErr w:type="spellStart"/>
            <w:r w:rsidRPr="001D09A8">
              <w:rPr>
                <w:rFonts w:ascii="Verdana" w:hAnsi="Verdana"/>
                <w:sz w:val="20"/>
                <w:szCs w:val="20"/>
              </w:rPr>
              <w:t>Wob</w:t>
            </w:r>
            <w:proofErr w:type="spellEnd"/>
            <w:r w:rsidRPr="001D09A8">
              <w:rPr>
                <w:rFonts w:ascii="Verdana" w:hAnsi="Verdana"/>
                <w:sz w:val="20"/>
                <w:szCs w:val="20"/>
              </w:rPr>
              <w:t>-verzoeken bepaald is dat elektronisch verkeer is opengesteld en op welke wijze; zo nee, bepaal ad hoc of de zaak zich daarvoor leent en op welke wijze (o.a. aan de hand van kosten, risico’s, gevoeligheid informatie, veiligheid, complexiteit).</w:t>
            </w:r>
          </w:p>
        </w:tc>
        <w:tc>
          <w:tcPr>
            <w:tcW w:w="1384" w:type="dxa"/>
          </w:tcPr>
          <w:p w14:paraId="594FBD1B" w14:textId="77777777" w:rsidR="00F86EB4" w:rsidRPr="001D09A8" w:rsidRDefault="00F86EB4" w:rsidP="00F86EB4">
            <w:pPr>
              <w:spacing w:line="240" w:lineRule="atLeast"/>
              <w:rPr>
                <w:rFonts w:ascii="Verdana" w:hAnsi="Verdana"/>
                <w:sz w:val="20"/>
                <w:szCs w:val="20"/>
              </w:rPr>
            </w:pPr>
          </w:p>
        </w:tc>
      </w:tr>
      <w:tr w:rsidR="00F86EB4" w:rsidRPr="001D09A8" w14:paraId="46EF547E" w14:textId="77777777" w:rsidTr="00F86EB4">
        <w:trPr>
          <w:trHeight w:val="511"/>
        </w:trPr>
        <w:tc>
          <w:tcPr>
            <w:tcW w:w="6095" w:type="dxa"/>
          </w:tcPr>
          <w:p w14:paraId="760EC995"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Installeer een bemande digitale postbus waar elektronisch ontvangen en verstuurde stukken opgeslagen en bewaard worden.</w:t>
            </w:r>
          </w:p>
        </w:tc>
        <w:tc>
          <w:tcPr>
            <w:tcW w:w="1384" w:type="dxa"/>
          </w:tcPr>
          <w:p w14:paraId="30584F84" w14:textId="77777777" w:rsidR="00F86EB4" w:rsidRPr="001D09A8" w:rsidRDefault="00F86EB4" w:rsidP="00F86EB4">
            <w:pPr>
              <w:spacing w:line="240" w:lineRule="atLeast"/>
              <w:rPr>
                <w:rFonts w:ascii="Verdana" w:hAnsi="Verdana"/>
                <w:sz w:val="20"/>
                <w:szCs w:val="20"/>
              </w:rPr>
            </w:pPr>
          </w:p>
        </w:tc>
      </w:tr>
      <w:tr w:rsidR="00F86EB4" w:rsidRPr="001D09A8" w14:paraId="0D383AC2" w14:textId="77777777" w:rsidTr="00F86EB4">
        <w:tc>
          <w:tcPr>
            <w:tcW w:w="6095" w:type="dxa"/>
          </w:tcPr>
          <w:p w14:paraId="668941EF"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Maak openstelling van de elektronische weg voor het indienen bezwaarschriften of </w:t>
            </w:r>
            <w:proofErr w:type="spellStart"/>
            <w:r w:rsidRPr="001D09A8">
              <w:rPr>
                <w:rFonts w:ascii="Verdana" w:hAnsi="Verdana"/>
                <w:sz w:val="20"/>
                <w:szCs w:val="20"/>
              </w:rPr>
              <w:t>Wob</w:t>
            </w:r>
            <w:proofErr w:type="spellEnd"/>
            <w:r w:rsidRPr="001D09A8">
              <w:rPr>
                <w:rFonts w:ascii="Verdana" w:hAnsi="Verdana"/>
                <w:sz w:val="20"/>
                <w:szCs w:val="20"/>
              </w:rPr>
              <w:t xml:space="preserve">-verzoeken expliciet kenbaar via een algemene regeling of – in het geval van bezwaarschriften - via een bericht aan de geadresseerden van het besluit, bij voorkeur in de rechtsmiddelclausule onder het besluit. </w:t>
            </w:r>
          </w:p>
        </w:tc>
        <w:tc>
          <w:tcPr>
            <w:tcW w:w="1384" w:type="dxa"/>
          </w:tcPr>
          <w:p w14:paraId="3AB357B3"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2:15 </w:t>
            </w:r>
            <w:proofErr w:type="spellStart"/>
            <w:r w:rsidRPr="001D09A8">
              <w:rPr>
                <w:rFonts w:ascii="Verdana" w:hAnsi="Verdana"/>
                <w:sz w:val="20"/>
                <w:szCs w:val="20"/>
              </w:rPr>
              <w:t>Awb</w:t>
            </w:r>
            <w:proofErr w:type="spellEnd"/>
          </w:p>
        </w:tc>
      </w:tr>
      <w:tr w:rsidR="00F86EB4" w:rsidRPr="001D09A8" w14:paraId="733B3F73" w14:textId="77777777" w:rsidTr="00F86EB4">
        <w:tc>
          <w:tcPr>
            <w:tcW w:w="6095" w:type="dxa"/>
          </w:tcPr>
          <w:p w14:paraId="4132D7F4" w14:textId="77777777" w:rsidR="00F86EB4" w:rsidRPr="001D09A8" w:rsidRDefault="00F86EB4" w:rsidP="00F86EB4">
            <w:pPr>
              <w:rPr>
                <w:rFonts w:ascii="Verdana" w:hAnsi="Verdana"/>
                <w:sz w:val="20"/>
                <w:szCs w:val="20"/>
              </w:rPr>
            </w:pPr>
            <w:r w:rsidRPr="001D09A8">
              <w:rPr>
                <w:rFonts w:ascii="Verdana" w:hAnsi="Verdana"/>
                <w:sz w:val="20"/>
                <w:szCs w:val="20"/>
              </w:rPr>
              <w:t>Vermeld bij de openstelling van de elektronische weg de eisen waaraan de elektronische indiening dient te voldoen, zoals o.a. de handtekening (elektronische handtekening of natte handtekening).</w:t>
            </w:r>
          </w:p>
        </w:tc>
        <w:tc>
          <w:tcPr>
            <w:tcW w:w="1384" w:type="dxa"/>
          </w:tcPr>
          <w:p w14:paraId="56937D50" w14:textId="77777777" w:rsidR="00F86EB4" w:rsidRPr="001D09A8" w:rsidRDefault="00F86EB4" w:rsidP="00F86EB4">
            <w:pPr>
              <w:rPr>
                <w:rFonts w:ascii="Verdana" w:hAnsi="Verdana"/>
                <w:sz w:val="20"/>
                <w:szCs w:val="20"/>
              </w:rPr>
            </w:pPr>
            <w:r w:rsidRPr="001D09A8">
              <w:rPr>
                <w:rFonts w:ascii="Verdana" w:hAnsi="Verdana"/>
                <w:sz w:val="20"/>
                <w:szCs w:val="20"/>
              </w:rPr>
              <w:t xml:space="preserve">6:5 </w:t>
            </w:r>
            <w:proofErr w:type="spellStart"/>
            <w:r w:rsidRPr="001D09A8">
              <w:rPr>
                <w:rFonts w:ascii="Verdana" w:hAnsi="Verdana"/>
                <w:sz w:val="20"/>
                <w:szCs w:val="20"/>
              </w:rPr>
              <w:t>Awb</w:t>
            </w:r>
            <w:proofErr w:type="spellEnd"/>
          </w:p>
        </w:tc>
      </w:tr>
      <w:tr w:rsidR="00F86EB4" w:rsidRPr="001D09A8" w14:paraId="4BDD11E5" w14:textId="77777777" w:rsidTr="00F86EB4">
        <w:tc>
          <w:tcPr>
            <w:tcW w:w="6095" w:type="dxa"/>
          </w:tcPr>
          <w:p w14:paraId="42FE135E" w14:textId="77777777" w:rsidR="00F86EB4" w:rsidRPr="001D09A8" w:rsidRDefault="00F86EB4" w:rsidP="00F86EB4">
            <w:pPr>
              <w:rPr>
                <w:rFonts w:ascii="Verdana" w:hAnsi="Verdana"/>
                <w:sz w:val="20"/>
                <w:szCs w:val="20"/>
              </w:rPr>
            </w:pPr>
            <w:r w:rsidRPr="001D09A8">
              <w:rPr>
                <w:rFonts w:ascii="Verdana" w:hAnsi="Verdana"/>
                <w:sz w:val="20"/>
                <w:szCs w:val="20"/>
              </w:rPr>
              <w:t>Wijs in de mededeling van openstelling van de elektronische weg op de risico’s die kleven aan het gebruik van elektronisch verkeer.</w:t>
            </w:r>
          </w:p>
        </w:tc>
        <w:tc>
          <w:tcPr>
            <w:tcW w:w="1384" w:type="dxa"/>
          </w:tcPr>
          <w:p w14:paraId="2839C8E7" w14:textId="77777777" w:rsidR="00F86EB4" w:rsidRPr="001D09A8" w:rsidRDefault="00F86EB4" w:rsidP="00F86EB4">
            <w:pPr>
              <w:rPr>
                <w:rFonts w:ascii="Verdana" w:hAnsi="Verdana"/>
                <w:sz w:val="20"/>
                <w:szCs w:val="20"/>
              </w:rPr>
            </w:pPr>
          </w:p>
        </w:tc>
      </w:tr>
      <w:tr w:rsidR="00F86EB4" w:rsidRPr="001D09A8" w14:paraId="750E74E0" w14:textId="77777777" w:rsidTr="00F86EB4">
        <w:tc>
          <w:tcPr>
            <w:tcW w:w="6095" w:type="dxa"/>
          </w:tcPr>
          <w:p w14:paraId="7B045F12"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Vermeld bij de mededeling van openstelling van de elektronische weg dat indiening van het stuk per post ook mogelijk is.</w:t>
            </w:r>
          </w:p>
        </w:tc>
        <w:tc>
          <w:tcPr>
            <w:tcW w:w="1384" w:type="dxa"/>
          </w:tcPr>
          <w:p w14:paraId="71C0306B" w14:textId="77777777" w:rsidR="00F86EB4" w:rsidRPr="001D09A8" w:rsidRDefault="00F86EB4" w:rsidP="00F86EB4">
            <w:pPr>
              <w:spacing w:line="240" w:lineRule="atLeast"/>
              <w:rPr>
                <w:rFonts w:ascii="Verdana" w:hAnsi="Verdana"/>
                <w:sz w:val="20"/>
                <w:szCs w:val="20"/>
              </w:rPr>
            </w:pPr>
          </w:p>
        </w:tc>
      </w:tr>
      <w:tr w:rsidR="00F86EB4" w:rsidRPr="001D09A8" w14:paraId="524D2F60" w14:textId="77777777" w:rsidTr="00F86EB4">
        <w:tc>
          <w:tcPr>
            <w:tcW w:w="6095" w:type="dxa"/>
          </w:tcPr>
          <w:p w14:paraId="46A6A6E4"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Vermeld de openstelling van de elektronische weg ook bij de algemene informatie over het besluit/de procedure op de website als in een website is voorzien.</w:t>
            </w:r>
          </w:p>
        </w:tc>
        <w:tc>
          <w:tcPr>
            <w:tcW w:w="1384" w:type="dxa"/>
          </w:tcPr>
          <w:p w14:paraId="025D59DD" w14:textId="77777777" w:rsidR="00F86EB4" w:rsidRPr="001D09A8" w:rsidRDefault="00F86EB4" w:rsidP="00F86EB4">
            <w:pPr>
              <w:spacing w:line="240" w:lineRule="atLeast"/>
              <w:rPr>
                <w:rFonts w:ascii="Verdana" w:hAnsi="Verdana"/>
                <w:sz w:val="20"/>
                <w:szCs w:val="20"/>
              </w:rPr>
            </w:pPr>
          </w:p>
        </w:tc>
      </w:tr>
      <w:tr w:rsidR="00F86EB4" w:rsidRPr="001D09A8" w14:paraId="4D6AD519" w14:textId="77777777" w:rsidTr="00F86EB4">
        <w:tc>
          <w:tcPr>
            <w:tcW w:w="6095" w:type="dxa"/>
          </w:tcPr>
          <w:p w14:paraId="761F69A3"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Ga na of de ontvangst van een elektronische handtekening mogelijk is.</w:t>
            </w:r>
          </w:p>
        </w:tc>
        <w:tc>
          <w:tcPr>
            <w:tcW w:w="1384" w:type="dxa"/>
          </w:tcPr>
          <w:p w14:paraId="2E249B69" w14:textId="77777777" w:rsidR="00F86EB4" w:rsidRPr="001D09A8" w:rsidRDefault="00F86EB4" w:rsidP="00F86EB4">
            <w:pPr>
              <w:spacing w:line="240" w:lineRule="atLeast"/>
              <w:rPr>
                <w:rFonts w:ascii="Verdana" w:hAnsi="Verdana"/>
                <w:sz w:val="20"/>
                <w:szCs w:val="20"/>
              </w:rPr>
            </w:pPr>
          </w:p>
        </w:tc>
      </w:tr>
      <w:tr w:rsidR="00F86EB4" w:rsidRPr="001D09A8" w14:paraId="2CAA2989" w14:textId="77777777" w:rsidTr="00F86EB4">
        <w:tc>
          <w:tcPr>
            <w:tcW w:w="6095" w:type="dxa"/>
          </w:tcPr>
          <w:p w14:paraId="167E04A3"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Ga na of het openen en/of omzetten van de digitaal ontvangen stukken en bijlagen naar documenten mogelijk is.</w:t>
            </w:r>
          </w:p>
        </w:tc>
        <w:tc>
          <w:tcPr>
            <w:tcW w:w="1384" w:type="dxa"/>
          </w:tcPr>
          <w:p w14:paraId="7B84B1E9" w14:textId="77777777" w:rsidR="00F86EB4" w:rsidRPr="001D09A8" w:rsidRDefault="00F86EB4" w:rsidP="00F86EB4">
            <w:pPr>
              <w:spacing w:line="240" w:lineRule="atLeast"/>
              <w:rPr>
                <w:rFonts w:ascii="Verdana" w:hAnsi="Verdana"/>
                <w:sz w:val="20"/>
                <w:szCs w:val="20"/>
              </w:rPr>
            </w:pPr>
          </w:p>
        </w:tc>
      </w:tr>
      <w:tr w:rsidR="00F86EB4" w:rsidRPr="001D09A8" w14:paraId="6F0D041C" w14:textId="77777777" w:rsidTr="00F86EB4">
        <w:tc>
          <w:tcPr>
            <w:tcW w:w="6095" w:type="dxa"/>
          </w:tcPr>
          <w:p w14:paraId="17084A35"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Ga na of het tijdstip van de elektronische indiening van het bezwaarschrift of </w:t>
            </w:r>
            <w:proofErr w:type="spellStart"/>
            <w:r w:rsidRPr="001D09A8">
              <w:rPr>
                <w:rFonts w:ascii="Verdana" w:hAnsi="Verdana"/>
                <w:sz w:val="20"/>
                <w:szCs w:val="20"/>
              </w:rPr>
              <w:t>Wob</w:t>
            </w:r>
            <w:proofErr w:type="spellEnd"/>
            <w:r w:rsidRPr="001D09A8">
              <w:rPr>
                <w:rFonts w:ascii="Verdana" w:hAnsi="Verdana"/>
                <w:sz w:val="20"/>
                <w:szCs w:val="20"/>
              </w:rPr>
              <w:t>-verzoek geregistreerd kan worden.</w:t>
            </w:r>
          </w:p>
        </w:tc>
        <w:tc>
          <w:tcPr>
            <w:tcW w:w="1384" w:type="dxa"/>
          </w:tcPr>
          <w:p w14:paraId="34139A23" w14:textId="77777777" w:rsidR="00F86EB4" w:rsidRPr="001D09A8" w:rsidRDefault="00F86EB4" w:rsidP="00F86EB4">
            <w:pPr>
              <w:spacing w:line="240" w:lineRule="atLeast"/>
              <w:rPr>
                <w:rFonts w:ascii="Verdana" w:hAnsi="Verdana"/>
                <w:sz w:val="20"/>
                <w:szCs w:val="20"/>
              </w:rPr>
            </w:pPr>
          </w:p>
        </w:tc>
      </w:tr>
      <w:tr w:rsidR="00F86EB4" w:rsidRPr="001D09A8" w14:paraId="71146EEF" w14:textId="77777777" w:rsidTr="00F86EB4">
        <w:tc>
          <w:tcPr>
            <w:tcW w:w="6095" w:type="dxa"/>
          </w:tcPr>
          <w:p w14:paraId="61638661"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Ga bij de ontvangst van een bezwaarschrift na of het bezwaarschrift is ingediend binnen de bezwaartermijn en of aan de eisen van artikel 6:5 </w:t>
            </w:r>
            <w:proofErr w:type="spellStart"/>
            <w:r w:rsidRPr="001D09A8">
              <w:rPr>
                <w:rFonts w:ascii="Verdana" w:hAnsi="Verdana"/>
                <w:sz w:val="20"/>
                <w:szCs w:val="20"/>
              </w:rPr>
              <w:t>Awb</w:t>
            </w:r>
            <w:proofErr w:type="spellEnd"/>
            <w:r w:rsidRPr="001D09A8">
              <w:rPr>
                <w:rFonts w:ascii="Verdana" w:hAnsi="Verdana"/>
                <w:sz w:val="20"/>
                <w:szCs w:val="20"/>
              </w:rPr>
              <w:t xml:space="preserve"> wordt voldaan en zo nee, biedt een hersteltermijn voor het verzuim.</w:t>
            </w:r>
          </w:p>
        </w:tc>
        <w:tc>
          <w:tcPr>
            <w:tcW w:w="1384" w:type="dxa"/>
          </w:tcPr>
          <w:p w14:paraId="422719C5"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6:6 </w:t>
            </w:r>
            <w:proofErr w:type="spellStart"/>
            <w:r w:rsidRPr="001D09A8">
              <w:rPr>
                <w:rFonts w:ascii="Verdana" w:hAnsi="Verdana"/>
                <w:sz w:val="20"/>
                <w:szCs w:val="20"/>
              </w:rPr>
              <w:t>Awb</w:t>
            </w:r>
            <w:proofErr w:type="spellEnd"/>
          </w:p>
        </w:tc>
      </w:tr>
      <w:tr w:rsidR="00F86EB4" w:rsidRPr="001D09A8" w14:paraId="677CC2B3" w14:textId="77777777" w:rsidTr="00F86EB4">
        <w:tc>
          <w:tcPr>
            <w:tcW w:w="6095" w:type="dxa"/>
          </w:tcPr>
          <w:p w14:paraId="37F0B4E5"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Verzend na ontvangst van het via elektronisch verkeer ingediende stuk een (automatische) ontvangstbevestiging naar de indiener.</w:t>
            </w:r>
          </w:p>
        </w:tc>
        <w:tc>
          <w:tcPr>
            <w:tcW w:w="1384" w:type="dxa"/>
          </w:tcPr>
          <w:p w14:paraId="28588897" w14:textId="77777777" w:rsidR="00F86EB4" w:rsidRPr="001D09A8" w:rsidRDefault="00F86EB4" w:rsidP="00F86EB4">
            <w:pPr>
              <w:spacing w:line="240" w:lineRule="atLeast"/>
              <w:rPr>
                <w:rFonts w:ascii="Verdana" w:hAnsi="Verdana"/>
                <w:sz w:val="20"/>
                <w:szCs w:val="20"/>
              </w:rPr>
            </w:pPr>
          </w:p>
        </w:tc>
      </w:tr>
    </w:tbl>
    <w:p w14:paraId="38462F8F" w14:textId="77777777" w:rsidR="00F86EB4" w:rsidRPr="001D09A8" w:rsidRDefault="00F86EB4" w:rsidP="00F86EB4">
      <w:pPr>
        <w:spacing w:line="240" w:lineRule="atLeast"/>
        <w:rPr>
          <w:rFonts w:ascii="Verdana" w:hAnsi="Verdana"/>
          <w:sz w:val="20"/>
          <w:szCs w:val="20"/>
        </w:rPr>
      </w:pPr>
    </w:p>
    <w:p w14:paraId="779B5551" w14:textId="77777777" w:rsidR="00F86EB4" w:rsidRPr="001D09A8" w:rsidRDefault="00F86EB4" w:rsidP="00F86EB4">
      <w:pPr>
        <w:spacing w:line="240" w:lineRule="atLeast"/>
        <w:rPr>
          <w:rFonts w:ascii="Verdana" w:hAnsi="Verdana"/>
          <w:sz w:val="20"/>
          <w:szCs w:val="20"/>
        </w:rPr>
      </w:pPr>
    </w:p>
    <w:p w14:paraId="1D24F27F" w14:textId="77777777" w:rsidR="00F86EB4" w:rsidRPr="001D09A8" w:rsidRDefault="00F86EB4" w:rsidP="00F86EB4">
      <w:pPr>
        <w:spacing w:line="240" w:lineRule="atLeast"/>
        <w:rPr>
          <w:rFonts w:ascii="Verdana" w:hAnsi="Verdana"/>
          <w:b/>
          <w:sz w:val="20"/>
          <w:szCs w:val="20"/>
        </w:rPr>
      </w:pPr>
      <w:r w:rsidRPr="001D09A8">
        <w:rPr>
          <w:rFonts w:ascii="Verdana" w:hAnsi="Verdana"/>
          <w:sz w:val="20"/>
          <w:szCs w:val="20"/>
        </w:rPr>
        <w:br w:type="page"/>
      </w:r>
      <w:r w:rsidRPr="001D09A8">
        <w:rPr>
          <w:rFonts w:ascii="Verdana" w:hAnsi="Verdana"/>
          <w:b/>
          <w:sz w:val="20"/>
          <w:szCs w:val="20"/>
        </w:rPr>
        <w:lastRenderedPageBreak/>
        <w:t>Aandachtspunten bij niet openstellen elektronisch verkeer</w:t>
      </w:r>
    </w:p>
    <w:p w14:paraId="2D77C589" w14:textId="77777777" w:rsidR="00F86EB4" w:rsidRPr="001D09A8" w:rsidRDefault="00F86EB4" w:rsidP="00F86EB4">
      <w:pPr>
        <w:spacing w:line="240" w:lineRule="atLeast"/>
        <w:rPr>
          <w:rFonts w:ascii="Verdana" w:hAnsi="Verdana"/>
          <w:sz w:val="20"/>
          <w:szCs w:val="20"/>
        </w:rPr>
      </w:pPr>
    </w:p>
    <w:p w14:paraId="66E1D29D"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Zolang nog niet </w:t>
      </w:r>
      <w:proofErr w:type="spellStart"/>
      <w:r w:rsidRPr="001D09A8">
        <w:rPr>
          <w:rFonts w:ascii="Verdana" w:hAnsi="Verdana"/>
          <w:sz w:val="20"/>
          <w:szCs w:val="20"/>
        </w:rPr>
        <w:t>rijksbreed</w:t>
      </w:r>
      <w:proofErr w:type="spellEnd"/>
      <w:r w:rsidRPr="001D09A8">
        <w:rPr>
          <w:rFonts w:ascii="Verdana" w:hAnsi="Verdana"/>
          <w:sz w:val="20"/>
          <w:szCs w:val="20"/>
        </w:rPr>
        <w:t xml:space="preserve"> of per ministerie gekozen is voor openstelling van elektronisch verkeer, kan dat ad hoc of per categorie zaken mogelijk gemaakt worden. Ook als de mogelijkheid van elektronisch verkeer niet is opengesteld, kan het voorkomen dat berichten via elektronisch verkeer (e-mail) ontvangen worden. Hieronder is voor deze situatie een lijst met aandachtspunten, in het bijzonder voor de indiening van bezwaarschriften (per e-mail), opgenomen. </w:t>
      </w:r>
    </w:p>
    <w:p w14:paraId="0059B392"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 </w:t>
      </w:r>
    </w:p>
    <w:p w14:paraId="0C4A960C" w14:textId="77777777" w:rsidR="00F86EB4" w:rsidRPr="001D09A8" w:rsidRDefault="00F86EB4" w:rsidP="00F86EB4">
      <w:pPr>
        <w:spacing w:line="240" w:lineRule="atLeast"/>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5"/>
        <w:gridCol w:w="1573"/>
      </w:tblGrid>
      <w:tr w:rsidR="00F86EB4" w:rsidRPr="001D09A8" w14:paraId="4C521192" w14:textId="77777777" w:rsidTr="00F86EB4">
        <w:tc>
          <w:tcPr>
            <w:tcW w:w="6095" w:type="dxa"/>
          </w:tcPr>
          <w:p w14:paraId="246B1212" w14:textId="77777777" w:rsidR="00F86EB4" w:rsidRPr="001D09A8" w:rsidRDefault="00F86EB4" w:rsidP="00F86EB4">
            <w:pPr>
              <w:spacing w:line="240" w:lineRule="atLeast"/>
              <w:rPr>
                <w:rFonts w:ascii="Verdana" w:hAnsi="Verdana"/>
                <w:b/>
                <w:sz w:val="20"/>
                <w:szCs w:val="20"/>
              </w:rPr>
            </w:pPr>
            <w:r w:rsidRPr="001D09A8">
              <w:rPr>
                <w:rFonts w:ascii="Verdana" w:hAnsi="Verdana"/>
                <w:b/>
                <w:sz w:val="20"/>
                <w:szCs w:val="20"/>
              </w:rPr>
              <w:t>Aandachtspunten bij niet openstelling elektronisch verkeer</w:t>
            </w:r>
          </w:p>
        </w:tc>
        <w:tc>
          <w:tcPr>
            <w:tcW w:w="1573" w:type="dxa"/>
          </w:tcPr>
          <w:p w14:paraId="3AA0F7E0" w14:textId="77777777" w:rsidR="00F86EB4" w:rsidRPr="001D09A8" w:rsidRDefault="00F86EB4" w:rsidP="00F86EB4">
            <w:pPr>
              <w:spacing w:line="240" w:lineRule="atLeast"/>
              <w:rPr>
                <w:rFonts w:ascii="Verdana" w:hAnsi="Verdana"/>
                <w:b/>
                <w:sz w:val="20"/>
                <w:szCs w:val="20"/>
              </w:rPr>
            </w:pPr>
            <w:r w:rsidRPr="001D09A8">
              <w:rPr>
                <w:rFonts w:ascii="Verdana" w:hAnsi="Verdana"/>
                <w:b/>
                <w:sz w:val="20"/>
                <w:szCs w:val="20"/>
              </w:rPr>
              <w:t>Artikel</w:t>
            </w:r>
          </w:p>
        </w:tc>
      </w:tr>
      <w:tr w:rsidR="00F86EB4" w:rsidRPr="001D09A8" w14:paraId="11346DDF" w14:textId="77777777" w:rsidTr="00F86EB4">
        <w:tc>
          <w:tcPr>
            <w:tcW w:w="6095" w:type="dxa"/>
          </w:tcPr>
          <w:p w14:paraId="0378F140" w14:textId="77777777" w:rsidR="00F86EB4" w:rsidRPr="001D09A8" w:rsidRDefault="00F86EB4" w:rsidP="00F86EB4">
            <w:pPr>
              <w:spacing w:line="240" w:lineRule="atLeast"/>
              <w:rPr>
                <w:rFonts w:ascii="Verdana" w:hAnsi="Verdana"/>
                <w:b/>
                <w:sz w:val="20"/>
                <w:szCs w:val="20"/>
              </w:rPr>
            </w:pPr>
            <w:r w:rsidRPr="001D09A8">
              <w:rPr>
                <w:rFonts w:ascii="Verdana" w:hAnsi="Verdana"/>
                <w:sz w:val="20"/>
                <w:szCs w:val="20"/>
              </w:rPr>
              <w:t xml:space="preserve">Ga na of voor de categorie van zaken of ad hoc voor deze zaak bepaald is dat elektronisch verkeer niet is opengesteld </w:t>
            </w:r>
          </w:p>
        </w:tc>
        <w:tc>
          <w:tcPr>
            <w:tcW w:w="1573" w:type="dxa"/>
          </w:tcPr>
          <w:p w14:paraId="51CBC43E" w14:textId="77777777" w:rsidR="00F86EB4" w:rsidRPr="001D09A8" w:rsidRDefault="00F86EB4" w:rsidP="00F86EB4">
            <w:pPr>
              <w:spacing w:line="240" w:lineRule="atLeast"/>
              <w:rPr>
                <w:rFonts w:ascii="Verdana" w:hAnsi="Verdana"/>
                <w:b/>
                <w:sz w:val="20"/>
                <w:szCs w:val="20"/>
              </w:rPr>
            </w:pPr>
          </w:p>
        </w:tc>
      </w:tr>
      <w:tr w:rsidR="00F86EB4" w:rsidRPr="001D09A8" w14:paraId="7470879C" w14:textId="77777777" w:rsidTr="00F86EB4">
        <w:tc>
          <w:tcPr>
            <w:tcW w:w="6095" w:type="dxa"/>
          </w:tcPr>
          <w:p w14:paraId="2367B458"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Ga na of met het via elektronisch verkeer ingediende stuk beoogd wordt bezwaar te maken</w:t>
            </w:r>
          </w:p>
        </w:tc>
        <w:tc>
          <w:tcPr>
            <w:tcW w:w="1573" w:type="dxa"/>
          </w:tcPr>
          <w:p w14:paraId="5C7E4D83" w14:textId="77777777" w:rsidR="00F86EB4" w:rsidRPr="001D09A8" w:rsidRDefault="00F86EB4" w:rsidP="00F86EB4">
            <w:pPr>
              <w:spacing w:line="240" w:lineRule="atLeast"/>
              <w:rPr>
                <w:rFonts w:ascii="Verdana" w:hAnsi="Verdana"/>
                <w:sz w:val="20"/>
                <w:szCs w:val="20"/>
              </w:rPr>
            </w:pPr>
          </w:p>
        </w:tc>
      </w:tr>
      <w:tr w:rsidR="00F86EB4" w:rsidRPr="001D09A8" w14:paraId="62556565" w14:textId="77777777" w:rsidTr="00F86EB4">
        <w:tc>
          <w:tcPr>
            <w:tcW w:w="6095" w:type="dxa"/>
          </w:tcPr>
          <w:p w14:paraId="1C0F5087"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Ga in geval van een bezwaarschrift na of het via elektronisch verkeer ingediende stuk binnen de bezwaartermijn is ingediend. Zo niet, neem het stuk niet in behandeling en stel betrokkene hiervan bij brief op de hoogte. </w:t>
            </w:r>
          </w:p>
        </w:tc>
        <w:tc>
          <w:tcPr>
            <w:tcW w:w="1573" w:type="dxa"/>
          </w:tcPr>
          <w:p w14:paraId="12911167" w14:textId="77777777" w:rsidR="00F86EB4" w:rsidRPr="001D09A8" w:rsidRDefault="00F86EB4" w:rsidP="00F86EB4">
            <w:pPr>
              <w:spacing w:line="240" w:lineRule="atLeast"/>
              <w:rPr>
                <w:rFonts w:ascii="Verdana" w:hAnsi="Verdana"/>
                <w:sz w:val="20"/>
                <w:szCs w:val="20"/>
              </w:rPr>
            </w:pPr>
          </w:p>
        </w:tc>
      </w:tr>
      <w:tr w:rsidR="00F86EB4" w:rsidRPr="001D09A8" w14:paraId="308F9D45" w14:textId="77777777" w:rsidTr="00F86EB4">
        <w:tc>
          <w:tcPr>
            <w:tcW w:w="6095" w:type="dxa"/>
          </w:tcPr>
          <w:p w14:paraId="011FD0C0"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Stuur, indien het bezwaarschrift binnen de bezwaartermijn is ingediend,  een brief naar de indiener waarin wordt aangegeven dat de elektronische weg niet is opengesteld en dat het bezwaarschrift binnen een bepaalde termijn alsnog per post dient te worden toegezonden. </w:t>
            </w:r>
          </w:p>
        </w:tc>
        <w:tc>
          <w:tcPr>
            <w:tcW w:w="1573" w:type="dxa"/>
          </w:tcPr>
          <w:p w14:paraId="3C980F4C"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6:6 sub b </w:t>
            </w:r>
            <w:proofErr w:type="spellStart"/>
            <w:r w:rsidRPr="001D09A8">
              <w:rPr>
                <w:rFonts w:ascii="Verdana" w:hAnsi="Verdana"/>
                <w:sz w:val="20"/>
                <w:szCs w:val="20"/>
              </w:rPr>
              <w:t>Awb</w:t>
            </w:r>
            <w:proofErr w:type="spellEnd"/>
          </w:p>
        </w:tc>
      </w:tr>
      <w:tr w:rsidR="00F86EB4" w:rsidRPr="001D09A8" w14:paraId="79639B35" w14:textId="77777777" w:rsidTr="00F86EB4">
        <w:tc>
          <w:tcPr>
            <w:tcW w:w="6095" w:type="dxa"/>
          </w:tcPr>
          <w:p w14:paraId="10912A06"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Verklaar, indien niet alsnog binnen de door het bestuursorgaan gestelde termijn het stuk wordt toegezonden, na ommekomst van die termijn het bezwaarschrift niet-ontvankelijk.</w:t>
            </w:r>
          </w:p>
        </w:tc>
        <w:tc>
          <w:tcPr>
            <w:tcW w:w="1573" w:type="dxa"/>
          </w:tcPr>
          <w:p w14:paraId="2C05E65F"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6:6 sub b </w:t>
            </w:r>
            <w:proofErr w:type="spellStart"/>
            <w:r w:rsidRPr="001D09A8">
              <w:rPr>
                <w:rFonts w:ascii="Verdana" w:hAnsi="Verdana"/>
                <w:sz w:val="20"/>
                <w:szCs w:val="20"/>
              </w:rPr>
              <w:t>Awb</w:t>
            </w:r>
            <w:proofErr w:type="spellEnd"/>
          </w:p>
        </w:tc>
      </w:tr>
      <w:tr w:rsidR="00F86EB4" w:rsidRPr="001D09A8" w14:paraId="295588B2" w14:textId="77777777" w:rsidTr="00F86EB4">
        <w:tc>
          <w:tcPr>
            <w:tcW w:w="6095" w:type="dxa"/>
          </w:tcPr>
          <w:p w14:paraId="7D463224"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Verstuur bij ontvangst van andere stukken via elektronisch verkeer steeds een brief waarin vermeld wordt dat deze weg niet is opengesteld en dat de stukken (ook) per post moeten worden ingediend. </w:t>
            </w:r>
          </w:p>
        </w:tc>
        <w:tc>
          <w:tcPr>
            <w:tcW w:w="1573" w:type="dxa"/>
          </w:tcPr>
          <w:p w14:paraId="08FE92E1" w14:textId="77777777" w:rsidR="00F86EB4" w:rsidRPr="001D09A8" w:rsidRDefault="00F86EB4" w:rsidP="00F86EB4">
            <w:pPr>
              <w:spacing w:line="240" w:lineRule="atLeast"/>
              <w:rPr>
                <w:rFonts w:ascii="Verdana" w:hAnsi="Verdana"/>
                <w:sz w:val="20"/>
                <w:szCs w:val="20"/>
              </w:rPr>
            </w:pPr>
          </w:p>
        </w:tc>
      </w:tr>
      <w:tr w:rsidR="00F86EB4" w:rsidRPr="001D09A8" w14:paraId="7241F264" w14:textId="77777777" w:rsidTr="00F86EB4">
        <w:tc>
          <w:tcPr>
            <w:tcW w:w="6095" w:type="dxa"/>
          </w:tcPr>
          <w:p w14:paraId="5169EF07" w14:textId="77777777" w:rsidR="00F86EB4" w:rsidRPr="001D09A8" w:rsidRDefault="00F86EB4" w:rsidP="00F86EB4">
            <w:pPr>
              <w:spacing w:line="240" w:lineRule="atLeast"/>
              <w:rPr>
                <w:rFonts w:ascii="Verdana" w:hAnsi="Verdana"/>
                <w:sz w:val="20"/>
                <w:szCs w:val="20"/>
              </w:rPr>
            </w:pPr>
            <w:r w:rsidRPr="001D09A8">
              <w:rPr>
                <w:rFonts w:ascii="Verdana" w:hAnsi="Verdana"/>
                <w:sz w:val="20"/>
                <w:szCs w:val="20"/>
              </w:rPr>
              <w:t xml:space="preserve">Verstuur procesbeslissingen of andersoortige berichten per post aan de belanghebbenden (in de bezwaarprocedure) en niet (alleen) per e-mail. </w:t>
            </w:r>
          </w:p>
        </w:tc>
        <w:tc>
          <w:tcPr>
            <w:tcW w:w="1573" w:type="dxa"/>
          </w:tcPr>
          <w:p w14:paraId="6803BBA1" w14:textId="77777777" w:rsidR="00F86EB4" w:rsidRPr="001D09A8" w:rsidRDefault="00F86EB4" w:rsidP="00F86EB4">
            <w:pPr>
              <w:spacing w:line="240" w:lineRule="atLeast"/>
              <w:rPr>
                <w:rFonts w:ascii="Verdana" w:hAnsi="Verdana"/>
                <w:sz w:val="20"/>
                <w:szCs w:val="20"/>
              </w:rPr>
            </w:pPr>
          </w:p>
        </w:tc>
      </w:tr>
    </w:tbl>
    <w:p w14:paraId="66FCDD89" w14:textId="77777777" w:rsidR="00F86EB4" w:rsidRPr="001D09A8" w:rsidRDefault="00F86EB4" w:rsidP="00F86EB4">
      <w:pPr>
        <w:rPr>
          <w:rFonts w:ascii="Verdana" w:hAnsi="Verdana"/>
          <w:sz w:val="20"/>
          <w:szCs w:val="20"/>
        </w:rPr>
      </w:pPr>
    </w:p>
    <w:p w14:paraId="0DCBD0AD" w14:textId="77777777" w:rsidR="00F86EB4" w:rsidRPr="001D09A8" w:rsidRDefault="00F86EB4" w:rsidP="00F86EB4">
      <w:pPr>
        <w:rPr>
          <w:rFonts w:ascii="Verdana" w:hAnsi="Verdana"/>
          <w:sz w:val="20"/>
          <w:szCs w:val="20"/>
        </w:rPr>
      </w:pPr>
    </w:p>
    <w:p w14:paraId="5F1132A5" w14:textId="77777777" w:rsidR="00832BDF" w:rsidRDefault="00832BDF"/>
    <w:sectPr w:rsidR="00832BDF" w:rsidSect="00F86EB4">
      <w:footerReference w:type="even" r:id="rId7"/>
      <w:footerReference w:type="default" r:id="rId8"/>
      <w:pgSz w:w="11906" w:h="16838"/>
      <w:pgMar w:top="1418" w:right="1021"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BFF2" w14:textId="77777777" w:rsidR="0078681A" w:rsidRDefault="0078681A">
      <w:r>
        <w:separator/>
      </w:r>
    </w:p>
  </w:endnote>
  <w:endnote w:type="continuationSeparator" w:id="0">
    <w:p w14:paraId="7FAB91B3" w14:textId="77777777" w:rsidR="0078681A" w:rsidRDefault="0078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4837" w14:textId="77777777" w:rsidR="00F86EB4" w:rsidRDefault="00F86EB4" w:rsidP="00F86EB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7B26462" w14:textId="77777777" w:rsidR="00F86EB4" w:rsidRDefault="00F86EB4" w:rsidP="00F86EB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6D58" w14:textId="77777777" w:rsidR="00F86EB4" w:rsidRPr="002B4F6B" w:rsidRDefault="00F86EB4" w:rsidP="00F86EB4">
    <w:pPr>
      <w:pStyle w:val="Voettekst"/>
      <w:framePr w:wrap="around" w:vAnchor="text" w:hAnchor="margin" w:xAlign="right" w:y="1"/>
      <w:rPr>
        <w:rStyle w:val="Paginanummer"/>
        <w:rFonts w:ascii="Verdana" w:hAnsi="Verdana"/>
        <w:sz w:val="18"/>
        <w:szCs w:val="18"/>
      </w:rPr>
    </w:pPr>
    <w:r w:rsidRPr="002B4F6B">
      <w:rPr>
        <w:rStyle w:val="Paginanummer"/>
        <w:rFonts w:ascii="Verdana" w:hAnsi="Verdana"/>
        <w:sz w:val="18"/>
        <w:szCs w:val="18"/>
      </w:rPr>
      <w:fldChar w:fldCharType="begin"/>
    </w:r>
    <w:r w:rsidRPr="002B4F6B">
      <w:rPr>
        <w:rStyle w:val="Paginanummer"/>
        <w:rFonts w:ascii="Verdana" w:hAnsi="Verdana"/>
        <w:sz w:val="18"/>
        <w:szCs w:val="18"/>
      </w:rPr>
      <w:instrText xml:space="preserve">PAGE  </w:instrText>
    </w:r>
    <w:r w:rsidRPr="002B4F6B">
      <w:rPr>
        <w:rStyle w:val="Paginanummer"/>
        <w:rFonts w:ascii="Verdana" w:hAnsi="Verdana"/>
        <w:sz w:val="18"/>
        <w:szCs w:val="18"/>
      </w:rPr>
      <w:fldChar w:fldCharType="separate"/>
    </w:r>
    <w:r>
      <w:rPr>
        <w:rStyle w:val="Paginanummer"/>
        <w:rFonts w:ascii="Verdana" w:hAnsi="Verdana"/>
        <w:noProof/>
        <w:sz w:val="18"/>
        <w:szCs w:val="18"/>
      </w:rPr>
      <w:t>1</w:t>
    </w:r>
    <w:r w:rsidRPr="002B4F6B">
      <w:rPr>
        <w:rStyle w:val="Paginanummer"/>
        <w:rFonts w:ascii="Verdana" w:hAnsi="Verdana"/>
        <w:sz w:val="18"/>
        <w:szCs w:val="18"/>
      </w:rPr>
      <w:fldChar w:fldCharType="end"/>
    </w:r>
  </w:p>
  <w:p w14:paraId="185CB76A" w14:textId="77777777" w:rsidR="00F86EB4" w:rsidRDefault="00F86EB4" w:rsidP="00F86EB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CDD1" w14:textId="77777777" w:rsidR="0078681A" w:rsidRDefault="0078681A">
      <w:r>
        <w:separator/>
      </w:r>
    </w:p>
  </w:footnote>
  <w:footnote w:type="continuationSeparator" w:id="0">
    <w:p w14:paraId="3DEABB82" w14:textId="77777777" w:rsidR="0078681A" w:rsidRDefault="00786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B4"/>
    <w:rsid w:val="000621A2"/>
    <w:rsid w:val="003055E9"/>
    <w:rsid w:val="00665FDD"/>
    <w:rsid w:val="0078681A"/>
    <w:rsid w:val="00832BDF"/>
    <w:rsid w:val="008C08AC"/>
    <w:rsid w:val="009A0393"/>
    <w:rsid w:val="009A5738"/>
    <w:rsid w:val="00C57AD0"/>
    <w:rsid w:val="00DD1714"/>
    <w:rsid w:val="00E42554"/>
    <w:rsid w:val="00EF45D9"/>
    <w:rsid w:val="00F86E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119DDD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86EB4"/>
    <w:rPr>
      <w:sz w:val="24"/>
      <w:szCs w:val="24"/>
    </w:rPr>
  </w:style>
  <w:style w:type="paragraph" w:styleId="Kop1">
    <w:name w:val="heading 1"/>
    <w:basedOn w:val="Standaard"/>
    <w:next w:val="Standaard"/>
    <w:link w:val="Kop1Char"/>
    <w:qFormat/>
    <w:rsid w:val="00F86EB4"/>
    <w:pPr>
      <w:keepNext/>
      <w:overflowPunct w:val="0"/>
      <w:autoSpaceDE w:val="0"/>
      <w:autoSpaceDN w:val="0"/>
      <w:adjustRightInd w:val="0"/>
      <w:spacing w:line="280" w:lineRule="atLeast"/>
      <w:ind w:right="335"/>
      <w:textAlignment w:val="baseline"/>
      <w:outlineLvl w:val="0"/>
    </w:pPr>
    <w:rPr>
      <w:rFonts w:ascii="Arial" w:hAnsi="Arial"/>
      <w:b/>
      <w:bCs/>
      <w:sz w:val="19"/>
      <w:szCs w:val="20"/>
      <w:u w:val="single"/>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locked/>
    <w:rsid w:val="00F86EB4"/>
    <w:rPr>
      <w:rFonts w:ascii="Arial" w:hAnsi="Arial"/>
      <w:b/>
      <w:bCs/>
      <w:sz w:val="19"/>
      <w:u w:val="single"/>
      <w:lang w:val="nl" w:eastAsia="nl-NL" w:bidi="ar-SA"/>
    </w:rPr>
  </w:style>
  <w:style w:type="character" w:styleId="Hyperlink">
    <w:name w:val="Hyperlink"/>
    <w:basedOn w:val="Standaardalinea-lettertype"/>
    <w:rsid w:val="00F86EB4"/>
    <w:rPr>
      <w:rFonts w:cs="Times New Roman"/>
      <w:color w:val="0000FF"/>
      <w:u w:val="single"/>
    </w:rPr>
  </w:style>
  <w:style w:type="paragraph" w:styleId="Lijstalinea">
    <w:name w:val="List Paragraph"/>
    <w:basedOn w:val="Standaard"/>
    <w:qFormat/>
    <w:rsid w:val="00F86EB4"/>
    <w:pPr>
      <w:spacing w:after="200" w:line="276" w:lineRule="auto"/>
      <w:ind w:left="720"/>
      <w:contextualSpacing/>
    </w:pPr>
    <w:rPr>
      <w:rFonts w:ascii="Verdana" w:hAnsi="Verdana"/>
      <w:sz w:val="18"/>
      <w:szCs w:val="22"/>
      <w:lang w:eastAsia="en-US"/>
    </w:rPr>
  </w:style>
  <w:style w:type="paragraph" w:styleId="Voettekst">
    <w:name w:val="footer"/>
    <w:basedOn w:val="Standaard"/>
    <w:link w:val="VoettekstChar"/>
    <w:rsid w:val="00F86EB4"/>
    <w:pPr>
      <w:tabs>
        <w:tab w:val="center" w:pos="4536"/>
        <w:tab w:val="right" w:pos="9072"/>
      </w:tabs>
    </w:pPr>
  </w:style>
  <w:style w:type="character" w:customStyle="1" w:styleId="VoettekstChar">
    <w:name w:val="Voettekst Char"/>
    <w:basedOn w:val="Standaardalinea-lettertype"/>
    <w:link w:val="Voettekst"/>
    <w:semiHidden/>
    <w:locked/>
    <w:rsid w:val="00F86EB4"/>
    <w:rPr>
      <w:sz w:val="24"/>
      <w:szCs w:val="24"/>
      <w:lang w:val="nl-NL" w:eastAsia="nl-NL" w:bidi="ar-SA"/>
    </w:rPr>
  </w:style>
  <w:style w:type="character" w:styleId="Paginanummer">
    <w:name w:val="page number"/>
    <w:basedOn w:val="Standaardalinea-lettertype"/>
    <w:rsid w:val="00F86EB4"/>
    <w:rPr>
      <w:rFonts w:cs="Times New Roman"/>
    </w:rPr>
  </w:style>
  <w:style w:type="paragraph" w:styleId="Koptekst">
    <w:name w:val="header"/>
    <w:basedOn w:val="Standaard"/>
    <w:link w:val="KoptekstChar"/>
    <w:rsid w:val="000621A2"/>
    <w:pPr>
      <w:tabs>
        <w:tab w:val="center" w:pos="4536"/>
        <w:tab w:val="right" w:pos="9072"/>
      </w:tabs>
    </w:pPr>
  </w:style>
  <w:style w:type="character" w:customStyle="1" w:styleId="KoptekstChar">
    <w:name w:val="Koptekst Char"/>
    <w:basedOn w:val="Standaardalinea-lettertype"/>
    <w:link w:val="Koptekst"/>
    <w:rsid w:val="000621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jksoverheid.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7273</Characters>
  <Application>Microsoft Office Word</Application>
  <DocSecurity>0</DocSecurity>
  <Lines>60</Lines>
  <Paragraphs>16</Paragraphs>
  <ScaleCrop>false</ScaleCrop>
  <Company/>
  <LinksUpToDate>false</LinksUpToDate>
  <CharactersWithSpaces>8452</CharactersWithSpaces>
  <SharedDoc>false</SharedDoc>
  <HLinks>
    <vt:vector size="6" baseType="variant">
      <vt:variant>
        <vt:i4>262171</vt:i4>
      </vt:variant>
      <vt:variant>
        <vt:i4>0</vt:i4>
      </vt:variant>
      <vt:variant>
        <vt:i4>0</vt:i4>
      </vt:variant>
      <vt:variant>
        <vt:i4>5</vt:i4>
      </vt:variant>
      <vt:variant>
        <vt:lpwstr>http://www.rijksoverheid.nl/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2024-06-13T12:43:00Z</dcterms:created>
  <dcterms:modified xsi:type="dcterms:W3CDTF">2024-06-13T12:43:00Z</dcterms:modified>
</cp:coreProperties>
</file>